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25C7" w14:textId="47DD3ECE" w:rsidR="0003524F" w:rsidRPr="0003524F" w:rsidRDefault="0003524F" w:rsidP="0003524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03524F">
        <w:rPr>
          <w:rFonts w:cs="Arial"/>
          <w:b/>
          <w:color w:val="002060"/>
          <w:szCs w:val="24"/>
          <w:lang w:val="fr-BE"/>
        </w:rPr>
        <w:t>Description</w:t>
      </w:r>
    </w:p>
    <w:p w14:paraId="11B1345D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56328AEE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14:paraId="6C08C0AC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26D47C20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40AA91FF" w14:textId="56664EEF" w:rsidR="0003524F" w:rsidRPr="0003524F" w:rsidRDefault="0003524F" w:rsidP="0003524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03524F">
        <w:rPr>
          <w:rFonts w:cs="Arial"/>
          <w:b/>
          <w:color w:val="002060"/>
          <w:szCs w:val="24"/>
          <w:lang w:val="fr-BE"/>
        </w:rPr>
        <w:t>Caractéristiques</w:t>
      </w:r>
    </w:p>
    <w:p w14:paraId="6AAFAA38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7022043A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Robinet à bille à passage direct.</w:t>
      </w:r>
    </w:p>
    <w:p w14:paraId="640915C3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Raccord non serti = raccord non étanche.</w:t>
      </w:r>
    </w:p>
    <w:p w14:paraId="4B94BADF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14:paraId="23D1DF78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Bille en PPSU.</w:t>
      </w:r>
    </w:p>
    <w:p w14:paraId="4576CBFF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b/>
          <w:color w:val="002060"/>
          <w:szCs w:val="24"/>
          <w:lang w:val="fr-FR"/>
        </w:rPr>
      </w:pPr>
      <w:r w:rsidRPr="0003524F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conduite.</w:t>
      </w:r>
      <w:r w:rsidRPr="0003524F">
        <w:rPr>
          <w:rFonts w:cs="Arial"/>
          <w:b/>
          <w:color w:val="002060"/>
          <w:szCs w:val="24"/>
          <w:lang w:val="fr-FR"/>
        </w:rPr>
        <w:t xml:space="preserve"> </w:t>
      </w:r>
    </w:p>
    <w:p w14:paraId="4216C52D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03524F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conduite.</w:t>
      </w:r>
    </w:p>
    <w:p w14:paraId="7E972C2E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FR"/>
        </w:rPr>
      </w:pPr>
    </w:p>
    <w:p w14:paraId="0886E2F1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FR"/>
        </w:rPr>
      </w:pPr>
    </w:p>
    <w:p w14:paraId="39BCDF57" w14:textId="45502B80" w:rsidR="0003524F" w:rsidRPr="00F0017D" w:rsidRDefault="0003524F" w:rsidP="00F0017D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F0017D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14:paraId="1DD0D164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6EFDB96D" w14:textId="3E5CF104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 xml:space="preserve">Matériau du corps 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="00F0017D">
        <w:rPr>
          <w:rFonts w:cs="Arial"/>
          <w:color w:val="002060"/>
          <w:szCs w:val="24"/>
          <w:lang w:val="fr-BE"/>
        </w:rPr>
        <w:t>Laiton</w:t>
      </w:r>
    </w:p>
    <w:p w14:paraId="16BF6B1C" w14:textId="502FC339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 xml:space="preserve">Type de montage 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="00F0017D">
        <w:rPr>
          <w:rFonts w:cs="Arial"/>
          <w:color w:val="002060"/>
          <w:szCs w:val="24"/>
          <w:lang w:val="fr-BE"/>
        </w:rPr>
        <w:t>A</w:t>
      </w:r>
      <w:r w:rsidRPr="0003524F">
        <w:rPr>
          <w:rFonts w:cs="Arial"/>
          <w:color w:val="002060"/>
          <w:szCs w:val="24"/>
          <w:lang w:val="fr-BE"/>
        </w:rPr>
        <w:t>pparent</w:t>
      </w:r>
    </w:p>
    <w:p w14:paraId="487CC2D9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Commande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avec poignée</w:t>
      </w:r>
    </w:p>
    <w:p w14:paraId="754BE914" w14:textId="535EA53B" w:rsidR="0003524F" w:rsidRPr="0003524F" w:rsidRDefault="0003524F" w:rsidP="0003524F">
      <w:pPr>
        <w:ind w:left="2880" w:hanging="2880"/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Diamètres</w:t>
      </w:r>
      <w:r w:rsidR="00F0017D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 xml:space="preserve">16-20-26-32-40-50mm </w:t>
      </w:r>
    </w:p>
    <w:p w14:paraId="7C3993D5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Joints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EPDM</w:t>
      </w:r>
    </w:p>
    <w:p w14:paraId="47E93E0D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Anneau d’isolation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PTFE</w:t>
      </w:r>
    </w:p>
    <w:p w14:paraId="59FE534F" w14:textId="53405AA3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Température de service</w:t>
      </w:r>
      <w:r w:rsidRPr="0003524F">
        <w:rPr>
          <w:rFonts w:cs="Arial"/>
          <w:color w:val="002060"/>
          <w:szCs w:val="24"/>
          <w:lang w:val="fr-BE"/>
        </w:rPr>
        <w:tab/>
        <w:t>0°C – 70°C</w:t>
      </w:r>
    </w:p>
    <w:p w14:paraId="0CCEEEB2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79A7D2D7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36507A71" w14:textId="5D0B1CBE" w:rsidR="0003524F" w:rsidRPr="002249DF" w:rsidRDefault="0003524F" w:rsidP="002249D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2249DF">
        <w:rPr>
          <w:rFonts w:cs="Arial"/>
          <w:b/>
          <w:color w:val="002060"/>
          <w:szCs w:val="24"/>
          <w:lang w:val="fr-BE"/>
        </w:rPr>
        <w:t>Applications</w:t>
      </w:r>
    </w:p>
    <w:p w14:paraId="4876101A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6F6DB7D4" w14:textId="53539571" w:rsidR="007B16B3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Eau potable</w:t>
      </w:r>
      <w:r w:rsidR="00C04681">
        <w:rPr>
          <w:rFonts w:cs="Arial"/>
          <w:color w:val="002060"/>
          <w:szCs w:val="24"/>
          <w:lang w:val="fr-BE"/>
        </w:rPr>
        <w:t xml:space="preserve"> (</w:t>
      </w:r>
      <w:r w:rsidR="00C04681" w:rsidRPr="00C04681">
        <w:rPr>
          <w:rFonts w:cs="Arial"/>
          <w:i/>
          <w:iCs/>
          <w:color w:val="002060"/>
          <w:szCs w:val="24"/>
          <w:lang w:val="fr-BE"/>
        </w:rPr>
        <w:t>Froid &amp; Chaud</w:t>
      </w:r>
      <w:r w:rsidR="00C04681">
        <w:rPr>
          <w:rFonts w:cs="Arial"/>
          <w:color w:val="002060"/>
          <w:szCs w:val="24"/>
          <w:lang w:val="fr-BE"/>
        </w:rPr>
        <w:t>)</w:t>
      </w:r>
    </w:p>
    <w:p w14:paraId="100BF847" w14:textId="4895A1D6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Refroidissement/</w:t>
      </w:r>
      <w:r w:rsidR="008A77DD">
        <w:rPr>
          <w:rFonts w:cs="Arial"/>
          <w:color w:val="002060"/>
          <w:szCs w:val="24"/>
          <w:lang w:val="fr-BE"/>
        </w:rPr>
        <w:t>Réchauffement</w:t>
      </w:r>
      <w:r>
        <w:rPr>
          <w:rFonts w:cs="Arial"/>
          <w:color w:val="002060"/>
          <w:szCs w:val="24"/>
          <w:lang w:val="fr-BE"/>
        </w:rPr>
        <w:t xml:space="preserve"> avec/sans antigel</w:t>
      </w:r>
    </w:p>
    <w:p w14:paraId="4EA4E840" w14:textId="6AEE6086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Air comprimé (</w:t>
      </w:r>
      <w:r w:rsidRPr="00BE6AA4">
        <w:rPr>
          <w:rFonts w:cs="Arial"/>
          <w:color w:val="002060"/>
          <w:sz w:val="20"/>
          <w:lang w:val="fr-BE"/>
        </w:rPr>
        <w:t>Classe de pureté huile 0 – 3</w:t>
      </w:r>
      <w:r>
        <w:rPr>
          <w:rFonts w:cs="Arial"/>
          <w:color w:val="002060"/>
          <w:szCs w:val="24"/>
          <w:lang w:val="fr-BE"/>
        </w:rPr>
        <w:t>)</w:t>
      </w:r>
    </w:p>
    <w:p w14:paraId="55F9E944" w14:textId="720E389E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Sous-Pression</w:t>
      </w:r>
    </w:p>
    <w:p w14:paraId="68EA6DA2" w14:textId="67AF562A" w:rsidR="0003524F" w:rsidRPr="0003524F" w:rsidRDefault="00BD590D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Gaz inertes (</w:t>
      </w:r>
      <w:r w:rsidRPr="00BE6AA4">
        <w:rPr>
          <w:rFonts w:cs="Arial"/>
          <w:color w:val="002060"/>
          <w:sz w:val="20"/>
          <w:lang w:val="fr-BE"/>
        </w:rPr>
        <w:t>p.ex. a</w:t>
      </w:r>
      <w:r w:rsidR="00BE6AA4" w:rsidRPr="00BE6AA4">
        <w:rPr>
          <w:rFonts w:cs="Arial"/>
          <w:color w:val="002060"/>
          <w:sz w:val="20"/>
          <w:lang w:val="fr-BE"/>
        </w:rPr>
        <w:t>zote</w:t>
      </w:r>
      <w:r w:rsidR="00BE6AA4">
        <w:rPr>
          <w:rFonts w:cs="Arial"/>
          <w:color w:val="002060"/>
          <w:szCs w:val="24"/>
          <w:lang w:val="fr-BE"/>
        </w:rPr>
        <w:t>)</w:t>
      </w:r>
    </w:p>
    <w:p w14:paraId="047CC4EF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419BB993" w14:textId="321DC932" w:rsidR="0003524F" w:rsidRPr="002249DF" w:rsidRDefault="0003524F" w:rsidP="002249D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2249DF">
        <w:rPr>
          <w:rFonts w:cs="Arial"/>
          <w:b/>
          <w:color w:val="002060"/>
          <w:szCs w:val="24"/>
          <w:lang w:val="fr-BE"/>
        </w:rPr>
        <w:t>Agrément et conformité</w:t>
      </w:r>
    </w:p>
    <w:p w14:paraId="0E2B1173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639581F0" w14:textId="77777777" w:rsidR="00C04681" w:rsidRDefault="0003524F" w:rsidP="00BE6AA4">
      <w:pPr>
        <w:rPr>
          <w:noProof/>
          <w:color w:val="002060"/>
          <w:lang w:val="nl-BE"/>
        </w:rPr>
      </w:pPr>
      <w:r w:rsidRPr="0003524F">
        <w:rPr>
          <w:rFonts w:cs="Arial"/>
          <w:color w:val="002060"/>
          <w:szCs w:val="24"/>
          <w:lang w:val="fr-BE"/>
        </w:rPr>
        <w:t>DVGW W570, KTW</w:t>
      </w:r>
    </w:p>
    <w:p w14:paraId="31C10290" w14:textId="696F0812" w:rsidR="00CC76D8" w:rsidRPr="001B1128" w:rsidRDefault="00BE6AA4" w:rsidP="00C04681">
      <w:pPr>
        <w:jc w:val="center"/>
        <w:rPr>
          <w:color w:val="002060"/>
          <w:lang w:val="nl-BE"/>
        </w:rPr>
      </w:pPr>
      <w:r w:rsidRPr="00A52085">
        <w:rPr>
          <w:noProof/>
          <w:color w:val="002060"/>
          <w:lang w:val="nl-BE"/>
        </w:rPr>
        <w:drawing>
          <wp:inline distT="0" distB="0" distL="0" distR="0" wp14:anchorId="7211884A" wp14:editId="5E3D1C2E">
            <wp:extent cx="851313" cy="628015"/>
            <wp:effectExtent l="0" t="0" r="635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2895" cy="636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C28C0" w14:textId="5F0A4F8A" w:rsidR="00CC76D8" w:rsidRPr="001B1128" w:rsidRDefault="00CC76D8" w:rsidP="00A52085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CB2E" w14:textId="77777777" w:rsidR="00FD6584" w:rsidRDefault="00FD6584">
      <w:r>
        <w:separator/>
      </w:r>
    </w:p>
  </w:endnote>
  <w:endnote w:type="continuationSeparator" w:id="0">
    <w:p w14:paraId="006E8C86" w14:textId="77777777" w:rsidR="00FD6584" w:rsidRDefault="00FD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55452496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AA0770">
            <w:rPr>
              <w:rFonts w:cs="Arial"/>
            </w:rPr>
            <w:t>X.X</w:t>
          </w:r>
        </w:p>
      </w:tc>
      <w:tc>
        <w:tcPr>
          <w:tcW w:w="3392" w:type="dxa"/>
        </w:tcPr>
        <w:p w14:paraId="15CCE670" w14:textId="39B45C69" w:rsidR="00025544" w:rsidRPr="00D06139" w:rsidRDefault="00AA0770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601C1" w14:textId="77777777" w:rsidR="00FD6584" w:rsidRDefault="00FD6584">
      <w:r>
        <w:separator/>
      </w:r>
    </w:p>
  </w:footnote>
  <w:footnote w:type="continuationSeparator" w:id="0">
    <w:p w14:paraId="604B3BCB" w14:textId="77777777" w:rsidR="00FD6584" w:rsidRDefault="00FD6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3E5EC234" w:rsidR="00025544" w:rsidRPr="00F0017D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F0017D">
      <w:rPr>
        <w:rFonts w:ascii="Arial" w:hAnsi="Arial" w:cs="Arial"/>
        <w:b/>
        <w:color w:val="002060"/>
        <w:lang w:val="en-US"/>
      </w:rPr>
      <w:t>Geberit</w:t>
    </w:r>
    <w:proofErr w:type="spellEnd"/>
    <w:r w:rsidRPr="00F0017D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D42517" w:rsidRPr="00F0017D">
      <w:rPr>
        <w:rFonts w:ascii="Arial" w:hAnsi="Arial" w:cs="Arial"/>
        <w:b/>
        <w:color w:val="002060"/>
        <w:lang w:val="en-US"/>
      </w:rPr>
      <w:t>Mepla</w:t>
    </w:r>
    <w:proofErr w:type="spellEnd"/>
    <w:r w:rsidR="00A64020" w:rsidRPr="00F0017D">
      <w:rPr>
        <w:rFonts w:ascii="Arial" w:hAnsi="Arial" w:cs="Arial"/>
        <w:b/>
        <w:color w:val="002060"/>
        <w:lang w:val="en-US"/>
      </w:rPr>
      <w:t xml:space="preserve"> </w:t>
    </w:r>
    <w:r w:rsidR="0003524F" w:rsidRPr="00F0017D">
      <w:rPr>
        <w:rFonts w:ascii="Arial" w:hAnsi="Arial" w:cs="Arial"/>
        <w:b/>
        <w:color w:val="002060"/>
        <w:lang w:val="en-US"/>
      </w:rPr>
      <w:t xml:space="preserve">Robinet à </w:t>
    </w:r>
    <w:proofErr w:type="spellStart"/>
    <w:r w:rsidR="00F0017D" w:rsidRPr="00F0017D">
      <w:rPr>
        <w:rFonts w:ascii="Arial" w:hAnsi="Arial" w:cs="Arial"/>
        <w:b/>
        <w:color w:val="002060"/>
        <w:lang w:val="en-US"/>
      </w:rPr>
      <w:t>bill</w:t>
    </w:r>
    <w:r w:rsidR="00F0017D">
      <w:rPr>
        <w:rFonts w:ascii="Arial" w:hAnsi="Arial" w:cs="Arial"/>
        <w:b/>
        <w:color w:val="002060"/>
        <w:lang w:val="en-US"/>
      </w:rPr>
      <w:t>e</w:t>
    </w:r>
    <w:proofErr w:type="spellEnd"/>
    <w:r w:rsidR="007653FE" w:rsidRPr="00F0017D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8636901"/>
    <w:multiLevelType w:val="hybridMultilevel"/>
    <w:tmpl w:val="5F2EFE2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8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6"/>
  </w:num>
  <w:num w:numId="6" w16cid:durableId="356350121">
    <w:abstractNumId w:val="18"/>
  </w:num>
  <w:num w:numId="7" w16cid:durableId="1377117928">
    <w:abstractNumId w:val="7"/>
  </w:num>
  <w:num w:numId="8" w16cid:durableId="357505896">
    <w:abstractNumId w:val="25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5"/>
  </w:num>
  <w:num w:numId="12" w16cid:durableId="1124427377">
    <w:abstractNumId w:val="14"/>
  </w:num>
  <w:num w:numId="13" w16cid:durableId="700011878">
    <w:abstractNumId w:val="31"/>
  </w:num>
  <w:num w:numId="14" w16cid:durableId="1864441956">
    <w:abstractNumId w:val="9"/>
  </w:num>
  <w:num w:numId="15" w16cid:durableId="703021142">
    <w:abstractNumId w:val="0"/>
  </w:num>
  <w:num w:numId="16" w16cid:durableId="1023244587">
    <w:abstractNumId w:val="12"/>
  </w:num>
  <w:num w:numId="17" w16cid:durableId="1214657749">
    <w:abstractNumId w:val="6"/>
  </w:num>
  <w:num w:numId="18" w16cid:durableId="249584128">
    <w:abstractNumId w:val="26"/>
  </w:num>
  <w:num w:numId="19" w16cid:durableId="1179588350">
    <w:abstractNumId w:val="27"/>
  </w:num>
  <w:num w:numId="20" w16cid:durableId="1147628665">
    <w:abstractNumId w:val="23"/>
  </w:num>
  <w:num w:numId="21" w16cid:durableId="1233469044">
    <w:abstractNumId w:val="22"/>
  </w:num>
  <w:num w:numId="22" w16cid:durableId="447043695">
    <w:abstractNumId w:val="17"/>
  </w:num>
  <w:num w:numId="23" w16cid:durableId="1627004811">
    <w:abstractNumId w:val="30"/>
  </w:num>
  <w:num w:numId="24" w16cid:durableId="1967925238">
    <w:abstractNumId w:val="10"/>
  </w:num>
  <w:num w:numId="25" w16cid:durableId="1895114638">
    <w:abstractNumId w:val="11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8"/>
  </w:num>
  <w:num w:numId="29" w16cid:durableId="839582279">
    <w:abstractNumId w:val="24"/>
  </w:num>
  <w:num w:numId="30" w16cid:durableId="1700010785">
    <w:abstractNumId w:val="13"/>
  </w:num>
  <w:num w:numId="31" w16cid:durableId="2136677185">
    <w:abstractNumId w:val="20"/>
  </w:num>
  <w:num w:numId="32" w16cid:durableId="2095784873">
    <w:abstractNumId w:val="29"/>
  </w:num>
  <w:num w:numId="33" w16cid:durableId="373775448">
    <w:abstractNumId w:val="32"/>
  </w:num>
  <w:num w:numId="34" w16cid:durableId="67249213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5C2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524F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4989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6345F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9DF"/>
    <w:rsid w:val="00224FBC"/>
    <w:rsid w:val="002366E2"/>
    <w:rsid w:val="002427CC"/>
    <w:rsid w:val="002535FF"/>
    <w:rsid w:val="00253B9B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4FCD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5F7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A77D5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44D0E"/>
    <w:rsid w:val="00551608"/>
    <w:rsid w:val="005541FB"/>
    <w:rsid w:val="00554BF5"/>
    <w:rsid w:val="00557F6C"/>
    <w:rsid w:val="00564C24"/>
    <w:rsid w:val="00567B63"/>
    <w:rsid w:val="00573BE8"/>
    <w:rsid w:val="00580A4E"/>
    <w:rsid w:val="00580E2C"/>
    <w:rsid w:val="00580ECD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2E7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1ADB"/>
    <w:rsid w:val="00694EDF"/>
    <w:rsid w:val="006A0B90"/>
    <w:rsid w:val="006A1059"/>
    <w:rsid w:val="006A60C0"/>
    <w:rsid w:val="006B4836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14DC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16B3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1970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2B29"/>
    <w:rsid w:val="008838BE"/>
    <w:rsid w:val="00886585"/>
    <w:rsid w:val="0089797D"/>
    <w:rsid w:val="008A4182"/>
    <w:rsid w:val="008A4C19"/>
    <w:rsid w:val="008A5169"/>
    <w:rsid w:val="008A666A"/>
    <w:rsid w:val="008A77DD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1E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15D3"/>
    <w:rsid w:val="00A52085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0770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67E6B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99"/>
    <w:rsid w:val="00BC6BD7"/>
    <w:rsid w:val="00BC75A7"/>
    <w:rsid w:val="00BD4BC8"/>
    <w:rsid w:val="00BD590D"/>
    <w:rsid w:val="00BE27FD"/>
    <w:rsid w:val="00BE6AA4"/>
    <w:rsid w:val="00BE78F2"/>
    <w:rsid w:val="00BE7EF8"/>
    <w:rsid w:val="00BF0762"/>
    <w:rsid w:val="00C04681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26C57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2517"/>
    <w:rsid w:val="00D43AAD"/>
    <w:rsid w:val="00D43B9F"/>
    <w:rsid w:val="00D44532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5AE0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277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017D"/>
    <w:rsid w:val="00F0523A"/>
    <w:rsid w:val="00F10658"/>
    <w:rsid w:val="00F16335"/>
    <w:rsid w:val="00F16CDF"/>
    <w:rsid w:val="00F17EF3"/>
    <w:rsid w:val="00F21F99"/>
    <w:rsid w:val="00F229A1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4278"/>
    <w:rsid w:val="00FD6584"/>
    <w:rsid w:val="00FD6D33"/>
    <w:rsid w:val="00FD7D2B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B4BC51-1AAB-4E95-B803-1A10856CFD21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257</TotalTime>
  <Pages>2</Pages>
  <Words>163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36</cp:revision>
  <cp:lastPrinted>2011-12-15T11:14:00Z</cp:lastPrinted>
  <dcterms:created xsi:type="dcterms:W3CDTF">2023-12-06T10:30:00Z</dcterms:created>
  <dcterms:modified xsi:type="dcterms:W3CDTF">2023-12-06T15:12:00Z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